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04.940185546875" w:line="344.4731140136719" w:lineRule="auto"/>
        <w:ind w:left="6.479949951171875" w:right="143.28125" w:firstLine="6.4801025390625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DORITA HANNAH                                                                                                                                                Dorita Hannah is a transdisciplinary designer and independent academic whose research, teaching, and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practice operate across the spatial, performing and visual arts. Her projects, from consulting on theatre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architecture to designing and curating public events, are mechanisms for addressing the dynamics, politics, and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intermediality of public space. She co-chairs two international working groups –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Performance + Design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for PSi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and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Theatre &amp; Architecture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for IFTR – and is on committees for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Performing Space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and 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highlight w:val="white"/>
          <w:rtl w:val="0"/>
        </w:rPr>
        <w:t xml:space="preserve">Dramatic Architectures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before="591.9851684570312" w:line="344.3066596984863" w:lineRule="auto"/>
        <w:ind w:left="0" w:right="47.020263671875" w:firstLine="0"/>
        <w:rPr/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SELIM MAWAD                                                                                                                                                                   Selim Mawad is an artist and human rights activist with over 20 years of experience peace-building in the Middle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East, Africa and Latin America. His psychosocial approach to conflict and post-conflict societies focuses on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dealing with violent pasts. He is dedicated to “Protest Art” as an agent for sociopolitical change through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performance, painting, political satire and street art. He was involved in several interactive protest performances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during Lebanon’s 2019 uprising, mainly on and around the historical building Le Grand Théâtre.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